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E3" w:rsidRPr="007B16B9" w:rsidRDefault="00AC6CE3" w:rsidP="00AC6CE3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spacing w:val="5"/>
          <w:kern w:val="28"/>
          <w:sz w:val="52"/>
          <w:szCs w:val="52"/>
        </w:rPr>
      </w:pPr>
      <w:r w:rsidRPr="007B16B9">
        <w:rPr>
          <w:rFonts w:ascii="Cambria" w:eastAsia="Times New Roman" w:hAnsi="Cambria" w:cs="Times New Roman"/>
          <w:spacing w:val="5"/>
          <w:kern w:val="28"/>
          <w:sz w:val="52"/>
          <w:szCs w:val="52"/>
        </w:rPr>
        <w:t>Programa de Examen</w:t>
      </w:r>
    </w:p>
    <w:p w:rsidR="00AC6CE3" w:rsidRPr="007B16B9" w:rsidRDefault="00AC6CE3" w:rsidP="00AC6CE3">
      <w:pPr>
        <w:keepNext/>
        <w:tabs>
          <w:tab w:val="num" w:pos="870"/>
        </w:tabs>
        <w:spacing w:after="0" w:line="240" w:lineRule="auto"/>
        <w:ind w:left="870" w:hanging="510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7B16B9">
        <w:rPr>
          <w:rFonts w:ascii="Cambria" w:eastAsia="Times New Roman" w:hAnsi="Cambria" w:cs="Times New Roman"/>
          <w:b/>
          <w:bCs/>
          <w:sz w:val="28"/>
          <w:szCs w:val="28"/>
        </w:rPr>
        <w:t xml:space="preserve">Contenidos o Aprendizajes </w:t>
      </w:r>
    </w:p>
    <w:p w:rsidR="00AC6CE3" w:rsidRPr="007B16B9" w:rsidRDefault="00AC6CE3" w:rsidP="00AC6CE3">
      <w:pPr>
        <w:keepNext/>
        <w:tabs>
          <w:tab w:val="num" w:pos="870"/>
        </w:tabs>
        <w:spacing w:after="0" w:line="240" w:lineRule="auto"/>
        <w:ind w:left="867" w:hanging="510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bookmarkStart w:id="0" w:name="_Toc167520287"/>
    </w:p>
    <w:p w:rsidR="00AC6CE3" w:rsidRPr="007B16B9" w:rsidRDefault="00AC6CE3" w:rsidP="00AC6CE3">
      <w:p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val="es-ES" w:eastAsia="es-ES"/>
        </w:rPr>
      </w:pPr>
      <w:r w:rsidRPr="007B16B9">
        <w:rPr>
          <w:rFonts w:ascii="Cambria" w:eastAsia="Times New Roman" w:hAnsi="Cambria" w:cs="Arial"/>
          <w:bCs/>
          <w:sz w:val="24"/>
          <w:szCs w:val="24"/>
          <w:lang w:val="es-ES" w:eastAsia="es-ES"/>
        </w:rPr>
        <w:t>UNIDAD I:</w:t>
      </w:r>
      <w:r w:rsidRPr="007B16B9">
        <w:rPr>
          <w:rFonts w:ascii="Cambria" w:eastAsia="Times New Roman" w:hAnsi="Cambria" w:cs="Arial"/>
          <w:sz w:val="24"/>
          <w:szCs w:val="24"/>
          <w:lang w:val="es-ES" w:eastAsia="es-ES"/>
        </w:rPr>
        <w:t xml:space="preserve"> El concepto: Insumo-proceso-producto. La decisión de invertir. Las oportunidades de negocios. La idea-proyecto. Análisis preliminar con Matriz DAFO. Alternativas de inversión disponibles ex - ante. El concepto de costo de oportunidad. </w:t>
      </w:r>
    </w:p>
    <w:p w:rsidR="00AC6CE3" w:rsidRPr="007B16B9" w:rsidRDefault="00AC6CE3" w:rsidP="00AC6CE3">
      <w:pPr>
        <w:spacing w:after="0" w:line="276" w:lineRule="auto"/>
        <w:jc w:val="both"/>
        <w:rPr>
          <w:rFonts w:ascii="Cambria" w:eastAsia="Calibri" w:hAnsi="Cambria" w:cs="Arial"/>
          <w:sz w:val="24"/>
          <w:szCs w:val="24"/>
        </w:rPr>
      </w:pPr>
      <w:r w:rsidRPr="007B16B9">
        <w:rPr>
          <w:rFonts w:ascii="Cambria" w:eastAsia="Calibri" w:hAnsi="Cambria" w:cs="Arial"/>
          <w:sz w:val="24"/>
          <w:szCs w:val="24"/>
        </w:rPr>
        <w:t xml:space="preserve">UNIDAD II: Marketing. Análisis de mercado. Demanda y oferta. Fuentes de información primaria y secundaria. El concepto de participación en el mercado. Canales de comercialización. Importancia del Plan de Marketing. Segmentación de mercado. Análisis de medios. Objetivos. </w:t>
      </w:r>
    </w:p>
    <w:p w:rsidR="00AC6CE3" w:rsidRPr="007B16B9" w:rsidRDefault="00AC6CE3" w:rsidP="00AC6CE3">
      <w:pPr>
        <w:spacing w:after="0" w:line="276" w:lineRule="auto"/>
        <w:jc w:val="both"/>
        <w:rPr>
          <w:rFonts w:ascii="Cambria" w:eastAsia="Calibri" w:hAnsi="Cambria" w:cs="Arial"/>
          <w:sz w:val="24"/>
          <w:szCs w:val="24"/>
          <w:lang w:val="pt-BR"/>
        </w:rPr>
      </w:pPr>
      <w:r w:rsidRPr="007B16B9">
        <w:rPr>
          <w:rFonts w:ascii="Cambria" w:eastAsia="Calibri" w:hAnsi="Cambria" w:cs="Arial"/>
          <w:sz w:val="24"/>
          <w:szCs w:val="24"/>
        </w:rPr>
        <w:t>UNIDAD III: Tecnologías de Producción. La función de producción. Costos de Inversión y Operativos. Rentabilidad. La maximización de rentabilidad.  Efectos de los impuestos sobre la rentabilidad.</w:t>
      </w:r>
    </w:p>
    <w:p w:rsidR="00AC6CE3" w:rsidRPr="007B16B9" w:rsidRDefault="00AC6CE3" w:rsidP="00AC6CE3">
      <w:p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val="es-ES" w:eastAsia="es-ES"/>
        </w:rPr>
      </w:pPr>
      <w:r w:rsidRPr="007B16B9">
        <w:rPr>
          <w:rFonts w:ascii="Cambria" w:eastAsia="Times New Roman" w:hAnsi="Cambria" w:cs="Arial"/>
          <w:sz w:val="24"/>
          <w:szCs w:val="24"/>
          <w:lang w:val="es-ES" w:eastAsia="es-ES"/>
        </w:rPr>
        <w:t xml:space="preserve">UNIDAD IV: Análisis de escenarios de inversión: el contexto macroeconómico y las oportunidades de inversión. Fuentes de financiamiento. Cuadro de usos y fuentes de financiamiento de la inversión. </w:t>
      </w:r>
    </w:p>
    <w:p w:rsidR="00AC6CE3" w:rsidRPr="007B16B9" w:rsidRDefault="00AC6CE3" w:rsidP="00AC6CE3">
      <w:p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val="es-ES" w:eastAsia="es-ES"/>
        </w:rPr>
      </w:pPr>
      <w:r w:rsidRPr="007B16B9">
        <w:rPr>
          <w:rFonts w:ascii="Cambria" w:eastAsia="Times New Roman" w:hAnsi="Cambria" w:cs="Arial"/>
          <w:sz w:val="24"/>
          <w:szCs w:val="24"/>
          <w:lang w:val="es-ES" w:eastAsia="es-ES"/>
        </w:rPr>
        <w:t>UNIDAD V: La evaluación de la inversión: Concepto de variables stock y variables flujo. Indicadores de un proyecto de inversión: Conceptos de Valor Presente Neto y Tasa Interna de Retorno. Análisis de alternativas de inversión.</w:t>
      </w:r>
    </w:p>
    <w:p w:rsidR="00AC6CE3" w:rsidRPr="007B16B9" w:rsidRDefault="00AC6CE3" w:rsidP="00AC6CE3">
      <w:pPr>
        <w:spacing w:after="0" w:line="276" w:lineRule="auto"/>
        <w:jc w:val="both"/>
        <w:rPr>
          <w:rFonts w:ascii="Cambria" w:eastAsia="Calibri" w:hAnsi="Cambria" w:cs="Arial"/>
          <w:sz w:val="24"/>
          <w:szCs w:val="24"/>
          <w:lang w:val="pt-BR"/>
        </w:rPr>
      </w:pPr>
      <w:r w:rsidRPr="007B16B9">
        <w:rPr>
          <w:rFonts w:ascii="Cambria" w:eastAsia="Calibri" w:hAnsi="Cambria" w:cs="Arial"/>
          <w:sz w:val="24"/>
          <w:szCs w:val="24"/>
        </w:rPr>
        <w:t>UNIDAD VI: Análisis de sensibilidad. El rol de la inflación y la tasa de interés. Estudio de casos.</w:t>
      </w:r>
    </w:p>
    <w:p w:rsidR="00AC6CE3" w:rsidRPr="007B16B9" w:rsidRDefault="00AC6CE3" w:rsidP="00AC6CE3">
      <w:pPr>
        <w:spacing w:after="0" w:line="276" w:lineRule="auto"/>
        <w:jc w:val="both"/>
        <w:rPr>
          <w:rFonts w:ascii="Cambria" w:eastAsia="Calibri" w:hAnsi="Cambria" w:cs="Arial"/>
          <w:sz w:val="24"/>
          <w:szCs w:val="24"/>
        </w:rPr>
      </w:pPr>
    </w:p>
    <w:p w:rsidR="00AC6CE3" w:rsidRPr="007B16B9" w:rsidRDefault="00AC6CE3" w:rsidP="00AC6CE3">
      <w:pPr>
        <w:keepNext/>
        <w:tabs>
          <w:tab w:val="num" w:pos="870"/>
        </w:tabs>
        <w:spacing w:after="0" w:line="240" w:lineRule="auto"/>
        <w:ind w:left="867" w:hanging="510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7B16B9">
        <w:rPr>
          <w:rFonts w:ascii="Cambria" w:eastAsia="Times New Roman" w:hAnsi="Cambria" w:cs="Times New Roman"/>
          <w:b/>
          <w:bCs/>
          <w:sz w:val="28"/>
          <w:szCs w:val="28"/>
        </w:rPr>
        <w:t>Criterios de suficiencia:</w:t>
      </w:r>
    </w:p>
    <w:p w:rsidR="00AC6CE3" w:rsidRPr="007B16B9" w:rsidRDefault="00AC6CE3" w:rsidP="00AC6CE3">
      <w:pPr>
        <w:tabs>
          <w:tab w:val="left" w:pos="993"/>
          <w:tab w:val="left" w:pos="1276"/>
        </w:tabs>
        <w:spacing w:after="0" w:line="276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val="es-ES" w:eastAsia="es-ES"/>
        </w:rPr>
      </w:pPr>
      <w:r w:rsidRPr="007B16B9">
        <w:rPr>
          <w:rFonts w:ascii="Cambria" w:eastAsia="Times New Roman" w:hAnsi="Cambria" w:cs="Times New Roman"/>
          <w:bCs/>
          <w:noProof/>
          <w:sz w:val="24"/>
          <w:szCs w:val="24"/>
          <w:lang w:val="es-ES" w:eastAsia="es-ES"/>
        </w:rPr>
        <w:t>Se espera que el alumno haya aprendido la importancia de una adecuada decisión de inversión así como las técnicas básicas de evaluación de inversiones a nivel microeconómico.</w:t>
      </w:r>
    </w:p>
    <w:p w:rsidR="00AC6CE3" w:rsidRPr="007B16B9" w:rsidRDefault="00AC6CE3" w:rsidP="00AC6CE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val="es-ES" w:eastAsia="es-ES"/>
        </w:rPr>
      </w:pPr>
    </w:p>
    <w:p w:rsidR="00AC6CE3" w:rsidRPr="007B16B9" w:rsidRDefault="00AC6CE3" w:rsidP="00AC6CE3">
      <w:pPr>
        <w:keepNext/>
        <w:tabs>
          <w:tab w:val="num" w:pos="870"/>
        </w:tabs>
        <w:spacing w:after="0" w:line="240" w:lineRule="auto"/>
        <w:ind w:left="870" w:hanging="510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7B16B9">
        <w:rPr>
          <w:rFonts w:ascii="Cambria" w:eastAsia="Times New Roman" w:hAnsi="Cambria" w:cs="Times New Roman"/>
          <w:b/>
          <w:bCs/>
          <w:sz w:val="28"/>
          <w:szCs w:val="28"/>
        </w:rPr>
        <w:t>Bibliografía:</w:t>
      </w:r>
      <w:bookmarkEnd w:id="0"/>
      <w:r w:rsidRPr="007B16B9">
        <w:rPr>
          <w:rFonts w:ascii="Cambria" w:eastAsia="Times New Roman" w:hAnsi="Cambria" w:cs="Times New Roman"/>
          <w:b/>
          <w:bCs/>
          <w:i/>
          <w:sz w:val="28"/>
          <w:szCs w:val="28"/>
        </w:rPr>
        <w:t xml:space="preserve"> </w:t>
      </w:r>
      <w:r w:rsidRPr="007B16B9">
        <w:rPr>
          <w:rFonts w:ascii="Cambria" w:eastAsia="Times New Roman" w:hAnsi="Cambria" w:cs="Times New Roman"/>
          <w:b/>
          <w:bCs/>
          <w:sz w:val="28"/>
          <w:szCs w:val="28"/>
        </w:rPr>
        <w:t xml:space="preserve"> </w:t>
      </w:r>
    </w:p>
    <w:p w:rsidR="00AC6CE3" w:rsidRPr="007B16B9" w:rsidRDefault="00AC6CE3" w:rsidP="00AC6CE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val="es-ES" w:eastAsia="es-ES"/>
        </w:rPr>
      </w:pPr>
    </w:p>
    <w:p w:rsidR="00AC6CE3" w:rsidRPr="007B16B9" w:rsidRDefault="00AC6CE3" w:rsidP="00AC6CE3">
      <w:pPr>
        <w:numPr>
          <w:ilvl w:val="0"/>
          <w:numId w:val="1"/>
        </w:numPr>
        <w:spacing w:after="0" w:line="360" w:lineRule="auto"/>
        <w:jc w:val="both"/>
        <w:rPr>
          <w:rFonts w:ascii="Cambria" w:eastAsia="Calibri" w:hAnsi="Cambria" w:cs="Arial"/>
          <w:b/>
          <w:sz w:val="24"/>
          <w:szCs w:val="24"/>
        </w:rPr>
      </w:pPr>
      <w:r w:rsidRPr="007B16B9">
        <w:rPr>
          <w:rFonts w:ascii="Cambria" w:eastAsia="Calibri" w:hAnsi="Cambria" w:cs="Arial"/>
          <w:b/>
          <w:sz w:val="24"/>
          <w:szCs w:val="24"/>
        </w:rPr>
        <w:t>Apuntes de Cátedra.</w:t>
      </w:r>
    </w:p>
    <w:p w:rsidR="00AC6CE3" w:rsidRPr="007B16B9" w:rsidRDefault="00AC6CE3" w:rsidP="00AC6CE3">
      <w:pPr>
        <w:numPr>
          <w:ilvl w:val="0"/>
          <w:numId w:val="1"/>
        </w:numPr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  <w:r w:rsidRPr="007B16B9">
        <w:rPr>
          <w:rFonts w:ascii="Cambria" w:eastAsia="Calibri" w:hAnsi="Cambria" w:cs="Arial"/>
          <w:b/>
          <w:bCs/>
          <w:sz w:val="24"/>
          <w:szCs w:val="24"/>
        </w:rPr>
        <w:t>F. Mochón y V. Beker</w:t>
      </w:r>
      <w:r w:rsidRPr="007B16B9">
        <w:rPr>
          <w:rFonts w:ascii="Cambria" w:eastAsia="Calibri" w:hAnsi="Cambria" w:cs="Arial"/>
          <w:sz w:val="24"/>
          <w:szCs w:val="24"/>
        </w:rPr>
        <w:t>. “Economía Principios y Aplicaciones”. Ed. McGraw-Hill / Interamericana de España S.A.U. 1997 y siguientes.</w:t>
      </w:r>
    </w:p>
    <w:p w:rsidR="00AC6CE3" w:rsidRPr="007B16B9" w:rsidRDefault="00AC6CE3" w:rsidP="00AC6CE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eastAsia="es-ES"/>
        </w:rPr>
      </w:pPr>
    </w:p>
    <w:p w:rsidR="00AC6CE3" w:rsidRPr="007B16B9" w:rsidRDefault="00AC6CE3" w:rsidP="00AC6CE3">
      <w:pPr>
        <w:spacing w:after="0" w:line="240" w:lineRule="auto"/>
        <w:rPr>
          <w:rFonts w:ascii="Calibri" w:eastAsia="Calibri" w:hAnsi="Calibri" w:cs="Times New Roman"/>
        </w:rPr>
      </w:pPr>
    </w:p>
    <w:p w:rsidR="00AC6CE3" w:rsidRDefault="00AC6CE3" w:rsidP="00AC6CE3"/>
    <w:p w:rsidR="00FB0919" w:rsidRDefault="00FB0919">
      <w:bookmarkStart w:id="1" w:name="_GoBack"/>
      <w:bookmarkEnd w:id="1"/>
    </w:p>
    <w:sectPr w:rsidR="00FB0919" w:rsidSect="00647F96">
      <w:headerReference w:type="default" r:id="rId5"/>
      <w:pgSz w:w="11907" w:h="16840" w:code="9"/>
      <w:pgMar w:top="1166" w:right="1275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ook w:val="04A0" w:firstRow="1" w:lastRow="0" w:firstColumn="1" w:lastColumn="0" w:noHBand="0" w:noVBand="1"/>
    </w:tblPr>
    <w:tblGrid>
      <w:gridCol w:w="1089"/>
      <w:gridCol w:w="9423"/>
    </w:tblGrid>
    <w:tr w:rsidR="00541D00" w:rsidRPr="00E715EA" w:rsidTr="00541D00">
      <w:trPr>
        <w:trHeight w:val="495"/>
      </w:trPr>
      <w:tc>
        <w:tcPr>
          <w:tcW w:w="1089" w:type="dxa"/>
          <w:vMerge w:val="restart"/>
          <w:tcBorders>
            <w:top w:val="single" w:sz="4" w:space="0" w:color="000000"/>
            <w:bottom w:val="nil"/>
            <w:right w:val="single" w:sz="4" w:space="0" w:color="000000"/>
          </w:tcBorders>
          <w:vAlign w:val="center"/>
        </w:tcPr>
        <w:p w:rsidR="00541D00" w:rsidRPr="00E715EA" w:rsidRDefault="00AC6CE3">
          <w:pPr>
            <w:pStyle w:val="Encabezado"/>
          </w:pPr>
          <w:r w:rsidRPr="003472EE">
            <w:rPr>
              <w:noProof/>
              <w:lang w:val="es-MX" w:eastAsia="es-MX"/>
            </w:rPr>
            <w:drawing>
              <wp:inline distT="0" distB="0" distL="0" distR="0" wp14:anchorId="670916C3" wp14:editId="62BB1E2A">
                <wp:extent cx="495300" cy="600075"/>
                <wp:effectExtent l="0" t="0" r="0" b="9525"/>
                <wp:docPr id="1" name="Imagen 1" descr="logonocturn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nocturn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23" w:type="dxa"/>
          <w:tcBorders>
            <w:left w:val="single" w:sz="4" w:space="0" w:color="000000"/>
          </w:tcBorders>
          <w:vAlign w:val="center"/>
        </w:tcPr>
        <w:p w:rsidR="00541D00" w:rsidRPr="00E715EA" w:rsidRDefault="00AC6CE3" w:rsidP="00BD35FE">
          <w:pPr>
            <w:pStyle w:val="Encabezado"/>
            <w:spacing w:before="120"/>
            <w:rPr>
              <w:rFonts w:ascii="Arial" w:hAnsi="Arial" w:cs="Arial"/>
              <w:b/>
              <w:sz w:val="20"/>
              <w:szCs w:val="20"/>
            </w:rPr>
          </w:pPr>
          <w:r w:rsidRPr="00E715EA">
            <w:rPr>
              <w:rFonts w:ascii="Arial" w:hAnsi="Arial" w:cs="Arial"/>
              <w:b/>
              <w:sz w:val="20"/>
              <w:szCs w:val="20"/>
            </w:rPr>
            <w:t xml:space="preserve">Escuela Nocturna – Instituto de Enseñanza Secundaria y Superior   </w:t>
          </w:r>
          <w:r w:rsidRPr="00BD35FE">
            <w:rPr>
              <w:b/>
              <w:sz w:val="32"/>
              <w:szCs w:val="32"/>
            </w:rPr>
            <w:t>Ciclo Lectivo 201</w:t>
          </w:r>
          <w:r>
            <w:rPr>
              <w:b/>
              <w:sz w:val="32"/>
              <w:szCs w:val="32"/>
            </w:rPr>
            <w:t>8</w:t>
          </w:r>
        </w:p>
      </w:tc>
    </w:tr>
    <w:tr w:rsidR="00541D00" w:rsidRPr="00E715EA" w:rsidTr="00541D00">
      <w:trPr>
        <w:trHeight w:val="241"/>
      </w:trPr>
      <w:tc>
        <w:tcPr>
          <w:tcW w:w="1089" w:type="dxa"/>
          <w:vMerge/>
          <w:tcBorders>
            <w:top w:val="nil"/>
            <w:bottom w:val="nil"/>
            <w:right w:val="single" w:sz="4" w:space="0" w:color="000000"/>
          </w:tcBorders>
          <w:vAlign w:val="center"/>
        </w:tcPr>
        <w:p w:rsidR="00541D00" w:rsidRPr="00E715EA" w:rsidRDefault="00AC6CE3">
          <w:pPr>
            <w:pStyle w:val="Encabezado"/>
          </w:pPr>
        </w:p>
      </w:tc>
      <w:tc>
        <w:tcPr>
          <w:tcW w:w="9423" w:type="dxa"/>
          <w:tcBorders>
            <w:left w:val="single" w:sz="4" w:space="0" w:color="000000"/>
          </w:tcBorders>
          <w:vAlign w:val="center"/>
        </w:tcPr>
        <w:p w:rsidR="00541D00" w:rsidRPr="00E715EA" w:rsidRDefault="00AC6CE3" w:rsidP="00541D00">
          <w:pPr>
            <w:pStyle w:val="Encabezado"/>
            <w:spacing w:before="120"/>
            <w:rPr>
              <w:b/>
              <w:sz w:val="36"/>
              <w:szCs w:val="36"/>
            </w:rPr>
          </w:pPr>
          <w:r w:rsidRPr="003472EE">
            <w:rPr>
              <w:b/>
              <w:noProof/>
              <w:sz w:val="36"/>
              <w:szCs w:val="36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F811D9B" wp14:editId="57598FCF">
                    <wp:simplePos x="0" y="0"/>
                    <wp:positionH relativeFrom="column">
                      <wp:posOffset>4156710</wp:posOffset>
                    </wp:positionH>
                    <wp:positionV relativeFrom="paragraph">
                      <wp:posOffset>20320</wp:posOffset>
                    </wp:positionV>
                    <wp:extent cx="1749425" cy="690245"/>
                    <wp:effectExtent l="3810" t="1270" r="0" b="3810"/>
                    <wp:wrapNone/>
                    <wp:docPr id="4" name="Cuadro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49425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1D00" w:rsidRPr="006A2F6F" w:rsidRDefault="00AC6CE3" w:rsidP="00541D00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 w:rsidRPr="006A2F6F"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  <w:t xml:space="preserve">Curso 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  <w:t>5</w:t>
                                </w:r>
                                <w:r w:rsidRPr="006A2F6F"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  <w:t>to. Año</w:t>
                                </w:r>
                              </w:p>
                              <w:p w:rsidR="00541D00" w:rsidRPr="006A2F6F" w:rsidRDefault="00AC6CE3" w:rsidP="00541D00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 w:rsidRPr="006A2F6F"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  <w:t>Ciclo de Especialización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811D9B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" o:spid="_x0000_s1026" type="#_x0000_t202" style="position:absolute;margin-left:327.3pt;margin-top:1.6pt;width:137.75pt;height:5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5JgAIAAAgFAAAOAAAAZHJzL2Uyb0RvYy54bWysVNuOmzAQfa/Uf7D8ngUikg0oZLVJmqrS&#10;9iJt+wGObYJV8FDbCWyr/nvHJmR3e5GqqjzAGI/PnJk54+VN39TkJI1VoAuaXMWUSM1BKH0o6KeP&#10;u8mCEuuYFqwGLQv6IC29Wb18sezaXE6hglpIQxBE27xrC1o51+ZRZHklG2avoJUaN0swDXO4NIdI&#10;GNYhelNH0zieRx0Y0Rrg0lr8ux026Srgl6Xk7n1ZWulIXVDk5sLbhPfev6PVkuUHw9pK8TMN9g8s&#10;GqY0Br1AbZlj5GjUL1CN4gYslO6KQxNBWSouQw6YTRL/lM19xVoZcsHi2PZSJvv/YPm70wdDlCho&#10;SolmDbZoc2TCABGSONk7IKkvUtfaHH3vW/R2/Rp6bHZI2LZ3wD9bomFTMX2Qt8ZAV0kmkGTiT0ZP&#10;jg441oPsu7cgMBo7OghAfWkaX0GsCUF0bNbDpUHIg3Af8jrN0umMEo578yyeprMQguXj6dZY91pC&#10;Q7xRUIMCCOjsdGedZ8Py0cUHs1ArsVN1HRbmsN/UhpwYimUXnjP6M7dae2cN/tiAOPxBkhjD73m6&#10;ofnfsmSaxutpNtnNF9eTdJfOJtl1vJjESbbO5jFms9199wSTNK+UEFLfKS1HISbp3zX6PBKDhIIU&#10;SVfQbIaVCnn9Mck4PL9LslEO57JWTUEXFyeW+8a+0gLTZrljqh7s6Dn9UGWswfgNVQky8J0fNOD6&#10;fY8oXht7EA8oCAPYL+w6XiZoVGC+UtLhYBbUfjkyIymp32gUlZ/i0TCjsR8NpjkeLSh3hpJhsXHD&#10;vB9bow4VYg/C1XCL0itVUMUjj7NgcdwC/fPV4Of56Tp4PV5gqx8AAAD//wMAUEsDBBQABgAIAAAA&#10;IQAOdYnU3wAAAAkBAAAPAAAAZHJzL2Rvd25yZXYueG1sTI9BTsMwEEX3SNzBGiR21EkDKU3jVKgC&#10;JBZdUDiAE0+cqPE4it02cHqGFSxH/+n/N+V2doM44xR6TwrSRQICqfGmJ6vg8+Pl7hFEiJqMHjyh&#10;gi8MsK2ur0pdGH+hdzwfohVcQqHQCroYx0LK0HTodFj4EYmz1k9ORz4nK82kL1zuBrlMklw63RMv&#10;dHrEXYfN8XByCnbfrbZJPe5f8yazbxFXz327Uur2Zn7agIg4xz8YfvVZHSp2qv2JTBCDgvzhPmdU&#10;QbYEwfk6S1IQNYNpugZZlfL/B9UPAAAA//8DAFBLAQItABQABgAIAAAAIQC2gziS/gAAAOEBAAAT&#10;AAAAAAAAAAAAAAAAAAAAAABbQ29udGVudF9UeXBlc10ueG1sUEsBAi0AFAAGAAgAAAAhADj9If/W&#10;AAAAlAEAAAsAAAAAAAAAAAAAAAAALwEAAF9yZWxzLy5yZWxzUEsBAi0AFAAGAAgAAAAhACvJfkmA&#10;AgAACAUAAA4AAAAAAAAAAAAAAAAALgIAAGRycy9lMm9Eb2MueG1sUEsBAi0AFAAGAAgAAAAhAA51&#10;idTfAAAACQEAAA8AAAAAAAAAAAAAAAAA2gQAAGRycy9kb3ducmV2LnhtbFBLBQYAAAAABAAEAPMA&#10;AADmBQAAAAA=&#10;" stroked="f">
                    <v:textbox inset="0,0,0,0">
                      <w:txbxContent>
                        <w:p w:rsidR="00541D00" w:rsidRPr="006A2F6F" w:rsidRDefault="00AC6CE3" w:rsidP="00541D00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  <w:r w:rsidRPr="006A2F6F"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  <w:t xml:space="preserve">Curso </w:t>
                          </w:r>
                          <w:r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  <w:t>5</w:t>
                          </w:r>
                          <w:r w:rsidRPr="006A2F6F"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  <w:t>to. Año</w:t>
                          </w:r>
                        </w:p>
                        <w:p w:rsidR="00541D00" w:rsidRPr="006A2F6F" w:rsidRDefault="00AC6CE3" w:rsidP="00541D00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  <w:r w:rsidRPr="006A2F6F"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  <w:t>Ciclo de Especialización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3472EE">
            <w:rPr>
              <w:b/>
              <w:noProof/>
              <w:sz w:val="36"/>
              <w:szCs w:val="36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1EEE380" wp14:editId="649A5D2B">
                    <wp:simplePos x="0" y="0"/>
                    <wp:positionH relativeFrom="column">
                      <wp:posOffset>-65405</wp:posOffset>
                    </wp:positionH>
                    <wp:positionV relativeFrom="paragraph">
                      <wp:posOffset>25400</wp:posOffset>
                    </wp:positionV>
                    <wp:extent cx="4239260" cy="374650"/>
                    <wp:effectExtent l="1270" t="0" r="0" b="0"/>
                    <wp:wrapNone/>
                    <wp:docPr id="3" name="Cuadro de tex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39260" cy="374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7AE1" w:rsidRPr="00872304" w:rsidRDefault="00AC6CE3" w:rsidP="00CE7AE1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72304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Administración de la Producción y Comercialización </w:t>
                                </w:r>
                              </w:p>
                              <w:p w:rsidR="00541D00" w:rsidRPr="00CE7AE1" w:rsidRDefault="00AC6CE3" w:rsidP="00CE7AE1">
                                <w:pPr>
                                  <w:rPr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1EEE380" id="Cuadro de texto 3" o:spid="_x0000_s1027" type="#_x0000_t202" style="position:absolute;margin-left:-5.15pt;margin-top:2pt;width:333.8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3/riwIAAB0FAAAOAAAAZHJzL2Uyb0RvYy54bWysVNuO0zAQfUfiHyy/d3NpeknUdLVtKUJa&#10;LtLCB7ix01gknmC7TRbEvzN22m5ZQEKIPDi2Z3w8M+eMF7d9U5Oj0EaCyml0E1IiVAFcqn1OP33c&#10;juaUGMsUZzUokdNHYejt8uWLRddmIoYKai40QRBlsq7NaWVtmwWBKSrRMHMDrVBoLEE3zOJS7wOu&#10;WYfoTR3EYTgNOtC81VAIY3B3Mxjp0uOXpSjs+7I0wpI6pxib9aP2486NwXLBsr1mbSWLUxjsH6Jo&#10;mFR46QVqwywjBy1/gWpkocFAaW8KaAIoS1kInwNmE4XPsnmoWCt8Llgc017KZP4fbPHu+EETyXM6&#10;pkSxBilaHxjXQLggVvQWyNgVqWtNhr4PLXrbfgU9ku0TNu09FJ8NUbCumNqLO62hqwTjGGTkTgZX&#10;Rwcc40B23VvgeBs7WPBAfakbV0GsCUF0JOvxQhDGQQrcTOJxGk/RVKBtPEumE89gwLLz6VYb+1pA&#10;Q9wkpxoF4NHZ8d5YFw3Lzi7uMgO15FtZ136h97t1rcmRoVi2/vMJPHOrlXNW4I4NiMMOBol3OJsL&#10;15P/LY3iJFzF6Wg7nc9GyTaZjNJZOB+FUbpKp2GSJpvtdxdglGSV5Fyoe6nEWYhR8ndEn1pikJCX&#10;Iulymk7iyUDRH5MM/fe7JBtpsS9r2eR0fnFimSP2leKYNsssk/UwD34O31cZa3D++6p4GTjmBw3Y&#10;ftd72XmNOInsgD+iLjQgbcgwvik4qUB/paTD/syp+XJgWlBSv1GorTRKEtfQfpFMZjEu9LVld21h&#10;qkConFpKhunaDo/AodVyX+FNg5oV3KEeS+ml8hTVScXYgz6n03vhmvx67b2eXrXlDwAAAP//AwBQ&#10;SwMEFAAGAAgAAAAhAI0mbTPdAAAACAEAAA8AAABkcnMvZG93bnJldi54bWxMj8FOwzAQRO9I/IO1&#10;SFxQa5e2CaRxKkACcW3pB2xiN4kar6PYbdK/ZznR245mNPsm306uExc7hNaThsVcgbBUedNSreHw&#10;8zl7AREiksHOk9VwtQG2xf1djpnxI+3sZR9rwSUUMtTQxNhnUoaqsQ7D3PeW2Dv6wWFkOdTSDDhy&#10;uevks1KJdNgSf2iwtx+NrU77s9Nw/B6f1q9j+RUP6W6VvGOblv6q9ePD9LYBEe0U/8Pwh8/oUDBT&#10;6c9kgug0zBZqyVENK57EfrJOWZd8LBXIIpe3A4pfAAAA//8DAFBLAQItABQABgAIAAAAIQC2gziS&#10;/gAAAOEBAAATAAAAAAAAAAAAAAAAAAAAAABbQ29udGVudF9UeXBlc10ueG1sUEsBAi0AFAAGAAgA&#10;AAAhADj9If/WAAAAlAEAAAsAAAAAAAAAAAAAAAAALwEAAF9yZWxzLy5yZWxzUEsBAi0AFAAGAAgA&#10;AAAhAOuff+uLAgAAHQUAAA4AAAAAAAAAAAAAAAAALgIAAGRycy9lMm9Eb2MueG1sUEsBAi0AFAAG&#10;AAgAAAAhAI0mbTPdAAAACAEAAA8AAAAAAAAAAAAAAAAA5QQAAGRycy9kb3ducmV2LnhtbFBLBQYA&#10;AAAABAAEAPMAAADvBQAAAAA=&#10;" stroked="f">
                    <v:textbox>
                      <w:txbxContent>
                        <w:p w:rsidR="00CE7AE1" w:rsidRPr="00872304" w:rsidRDefault="00AC6CE3" w:rsidP="00CE7AE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72304">
                            <w:rPr>
                              <w:b/>
                              <w:sz w:val="28"/>
                              <w:szCs w:val="28"/>
                            </w:rPr>
                            <w:t xml:space="preserve">Administración de la Producción y Comercialización </w:t>
                          </w:r>
                        </w:p>
                        <w:p w:rsidR="00541D00" w:rsidRPr="00CE7AE1" w:rsidRDefault="00AC6CE3" w:rsidP="00CE7AE1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E715EA">
            <w:rPr>
              <w:b/>
              <w:sz w:val="36"/>
              <w:szCs w:val="36"/>
            </w:rPr>
            <w:t xml:space="preserve">                                                        </w:t>
          </w:r>
        </w:p>
      </w:tc>
    </w:tr>
    <w:tr w:rsidR="00541D00" w:rsidRPr="00E715EA" w:rsidTr="00541D00">
      <w:trPr>
        <w:trHeight w:val="279"/>
      </w:trPr>
      <w:tc>
        <w:tcPr>
          <w:tcW w:w="1089" w:type="dxa"/>
          <w:vMerge/>
          <w:tcBorders>
            <w:top w:val="nil"/>
            <w:bottom w:val="nil"/>
            <w:right w:val="single" w:sz="4" w:space="0" w:color="000000"/>
          </w:tcBorders>
          <w:vAlign w:val="center"/>
        </w:tcPr>
        <w:p w:rsidR="00541D00" w:rsidRPr="00E715EA" w:rsidRDefault="00AC6CE3">
          <w:pPr>
            <w:pStyle w:val="Encabezado"/>
          </w:pPr>
        </w:p>
      </w:tc>
      <w:tc>
        <w:tcPr>
          <w:tcW w:w="9423" w:type="dxa"/>
          <w:tcBorders>
            <w:left w:val="single" w:sz="4" w:space="0" w:color="000000"/>
          </w:tcBorders>
          <w:vAlign w:val="center"/>
        </w:tcPr>
        <w:p w:rsidR="00541D00" w:rsidRPr="00E715EA" w:rsidRDefault="00AC6CE3" w:rsidP="00541D00">
          <w:pPr>
            <w:pStyle w:val="Encabezado"/>
            <w:spacing w:before="120"/>
            <w:rPr>
              <w:lang w:val="pt-BR"/>
            </w:rPr>
          </w:pPr>
          <w:r w:rsidRPr="006A2F6F">
            <w:rPr>
              <w:b/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0F53941" wp14:editId="2AA2250B">
                    <wp:simplePos x="0" y="0"/>
                    <wp:positionH relativeFrom="column">
                      <wp:posOffset>625475</wp:posOffset>
                    </wp:positionH>
                    <wp:positionV relativeFrom="paragraph">
                      <wp:posOffset>48260</wp:posOffset>
                    </wp:positionV>
                    <wp:extent cx="2603500" cy="244475"/>
                    <wp:effectExtent l="0" t="635" r="0" b="2540"/>
                    <wp:wrapNone/>
                    <wp:docPr id="2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03500" cy="244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1D00" w:rsidRPr="006A2F6F" w:rsidRDefault="00AC6CE3" w:rsidP="00541D00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A2F6F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Diaz, César Alejandro </w:t>
                                </w:r>
                              </w:p>
                              <w:p w:rsidR="00541D00" w:rsidRPr="004758D6" w:rsidRDefault="00AC6CE3" w:rsidP="00541D0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0F53941" id="Cuadro de texto 2" o:spid="_x0000_s1028" type="#_x0000_t202" style="position:absolute;margin-left:49.25pt;margin-top:3.8pt;width:20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87hiQIAAB0FAAAOAAAAZHJzL2Uyb0RvYy54bWysVMlu2zAQvRfoPxC8O1pKLxIiB4lTFwXS&#10;BUj7AbRIWUQljkrSltKg/94hZTtOF6AoqgPF4QzfbG94eTW0DdlLYxXogiYXMSVSlyCU3hb086f1&#10;ZEGJdVwL3oCWBX2Qll4tX7647LtcplBDI6QhCKJt3ncFrZ3r8iiyZS1bbi+gkxqVFZiWOxTNNhKG&#10;94jeNlEax7OoByM6A6W0Fk9vRyVdBvyqkqX7UFVWOtIUFGNzYTVh3fg1Wl7yfGt4V6vyEAb/hyha&#10;rjQ6PUHdcsfJzqhfoFpVGrBQuYsS2giqSpUy5IDZJPFP2dzXvJMhFyyO7U5lsv8Ptny//2iIEgVN&#10;KdG8xRatdlwYIEISJwcHJPVF6jubo+19h9ZuuIEBmx0Stt0dlF8s0bCqud7Ka2OgryUXGGTib0Zn&#10;V0cc60E2/TsQ6I3vHASgoTKtryDWhCA6Nuvh1CCMg5R4mM7iV9MYVSXqUsbYfBpc8Px4uzPWvZHQ&#10;Er8pqEECBHS+v7POR8Pzo4l3ZqFRYq2aJghmu1k1huw5kmUdvgP6M7NGe2MN/tqIOJ5gkOjD63y4&#10;ofmPWZKy+CbNJuvZYj5hazadZPN4MYmT7CabxSxjt+vvPsCE5bUSQuo7peWRiAn7u0YfRmKkUKAi&#10;6QuaTdPp2KI/JhmH73dJtsrhXDaqLejiZMRz39jXWmDaPHdcNeM+eh5+qDLW4PgPVQk08J0fOeCG&#10;zXCgHYJ5imxAPCAvDGDbsMP4puCmBvONkh7ns6D2644bSUnzViO3soQxP9BBYNN5ioI512zONVyX&#10;CFVQR8m4XbnxEdh1Rm1r9DSyWcM18rFSgSpPUR1YjDMYcjq8F37Iz+Vg9fSqLX8AAAD//wMAUEsD&#10;BBQABgAIAAAAIQDFN7Sj2wAAAAcBAAAPAAAAZHJzL2Rvd25yZXYueG1sTI7dToNAEIXvTXyHzZh4&#10;Y+xSU6BFhkZNNN725wEGmAKRnSXsttC3d3ullyfn5Dtfvp1Nry48us4KwnIRgWKpbN1Jg3A8fD6v&#10;QTlPUlNvhRGu7GBb3N/llNV2kh1f9r5RASIuI4TW+yHT2lUtG3ILO7CE7mRHQz7EsdH1SFOAm16/&#10;RFGiDXUSHloa+KPl6md/Ngin7+kp3kzllz+mu1XyTl1a2ivi48P89grK8+z/xnDTD+pQBKfSnqV2&#10;qkfYrOOwREgTUKGOo1suEVbJEnSR6//+xS8AAAD//wMAUEsBAi0AFAAGAAgAAAAhALaDOJL+AAAA&#10;4QEAABMAAAAAAAAAAAAAAAAAAAAAAFtDb250ZW50X1R5cGVzXS54bWxQSwECLQAUAAYACAAAACEA&#10;OP0h/9YAAACUAQAACwAAAAAAAAAAAAAAAAAvAQAAX3JlbHMvLnJlbHNQSwECLQAUAAYACAAAACEA&#10;sIPO4YkCAAAdBQAADgAAAAAAAAAAAAAAAAAuAgAAZHJzL2Uyb0RvYy54bWxQSwECLQAUAAYACAAA&#10;ACEAxTe0o9sAAAAHAQAADwAAAAAAAAAAAAAAAADjBAAAZHJzL2Rvd25yZXYueG1sUEsFBgAAAAAE&#10;AAQA8wAAAOsFAAAAAA==&#10;" stroked="f">
                    <v:textbox>
                      <w:txbxContent>
                        <w:p w:rsidR="00541D00" w:rsidRPr="006A2F6F" w:rsidRDefault="00AC6CE3" w:rsidP="00541D00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A2F6F">
                            <w:rPr>
                              <w:b/>
                              <w:sz w:val="24"/>
                              <w:szCs w:val="24"/>
                            </w:rPr>
                            <w:t xml:space="preserve">Diaz, César Alejandro </w:t>
                          </w:r>
                        </w:p>
                        <w:p w:rsidR="00541D00" w:rsidRPr="004758D6" w:rsidRDefault="00AC6CE3" w:rsidP="00541D00"/>
                      </w:txbxContent>
                    </v:textbox>
                  </v:shape>
                </w:pict>
              </mc:Fallback>
            </mc:AlternateContent>
          </w:r>
          <w:r w:rsidRPr="006A2F6F">
            <w:rPr>
              <w:b/>
              <w:lang w:val="pt-BR"/>
            </w:rPr>
            <w:t>Profesor</w:t>
          </w:r>
          <w:r>
            <w:rPr>
              <w:b/>
              <w:lang w:val="pt-BR"/>
            </w:rPr>
            <w:t>:</w:t>
          </w:r>
          <w:r w:rsidRPr="00E715EA">
            <w:rPr>
              <w:lang w:val="pt-BR"/>
            </w:rPr>
            <w:fldChar w:fldCharType="begin"/>
          </w:r>
          <w:r w:rsidRPr="00E715EA">
            <w:rPr>
              <w:lang w:val="pt-BR"/>
            </w:rPr>
            <w:instrText xml:space="preserve"> AUTOTEXTLIST  \* Caps  \* MERGEFORMAT </w:instrText>
          </w:r>
          <w:r w:rsidRPr="00E715EA">
            <w:rPr>
              <w:lang w:val="pt-BR"/>
            </w:rPr>
            <w:fldChar w:fldCharType="end"/>
          </w:r>
        </w:p>
      </w:tc>
    </w:tr>
    <w:tr w:rsidR="00541D00" w:rsidRPr="00E715EA" w:rsidTr="00541D00">
      <w:trPr>
        <w:trHeight w:val="241"/>
      </w:trPr>
      <w:tc>
        <w:tcPr>
          <w:tcW w:w="1089" w:type="dxa"/>
          <w:vMerge/>
          <w:tcBorders>
            <w:top w:val="nil"/>
            <w:bottom w:val="single" w:sz="4" w:space="0" w:color="000000"/>
            <w:right w:val="single" w:sz="4" w:space="0" w:color="000000"/>
          </w:tcBorders>
        </w:tcPr>
        <w:p w:rsidR="00541D00" w:rsidRPr="00E715EA" w:rsidRDefault="00AC6CE3">
          <w:pPr>
            <w:pStyle w:val="Encabezado"/>
            <w:rPr>
              <w:lang w:val="pt-BR"/>
            </w:rPr>
          </w:pPr>
        </w:p>
      </w:tc>
      <w:tc>
        <w:tcPr>
          <w:tcW w:w="9423" w:type="dxa"/>
          <w:tcBorders>
            <w:left w:val="single" w:sz="4" w:space="0" w:color="000000"/>
          </w:tcBorders>
        </w:tcPr>
        <w:p w:rsidR="00541D00" w:rsidRPr="00E715EA" w:rsidRDefault="00AC6CE3">
          <w:pPr>
            <w:pStyle w:val="Encabezado"/>
            <w:rPr>
              <w:lang w:val="pt-BR"/>
            </w:rPr>
          </w:pPr>
        </w:p>
      </w:tc>
    </w:tr>
  </w:tbl>
  <w:p w:rsidR="00541D00" w:rsidRPr="005E1590" w:rsidRDefault="00AC6CE3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B5C9C"/>
    <w:multiLevelType w:val="hybridMultilevel"/>
    <w:tmpl w:val="474A777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E3"/>
    <w:rsid w:val="00AC6CE3"/>
    <w:rsid w:val="00FB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6BD97-D3C4-471B-92B5-C3C4BA5F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E3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6C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CE3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Nocturna</dc:creator>
  <cp:keywords/>
  <dc:description/>
  <cp:lastModifiedBy>Nocturna</cp:lastModifiedBy>
  <cp:revision>1</cp:revision>
  <dcterms:created xsi:type="dcterms:W3CDTF">2018-11-28T01:50:00Z</dcterms:created>
  <dcterms:modified xsi:type="dcterms:W3CDTF">2018-11-28T01:52:00Z</dcterms:modified>
</cp:coreProperties>
</file>